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2955" w14:textId="12D5912A" w:rsidR="00C1423E" w:rsidRPr="00367C05" w:rsidRDefault="00C1423E" w:rsidP="00C1423E">
      <w:pPr>
        <w:rPr>
          <w:rFonts w:ascii="Calibri" w:hAnsi="Calibri" w:cs="Calibri"/>
          <w:b/>
          <w:color w:val="000000"/>
          <w:sz w:val="24"/>
          <w:szCs w:val="24"/>
        </w:rPr>
      </w:pPr>
      <w:r w:rsidRPr="00367C05">
        <w:rPr>
          <w:rFonts w:ascii="Calibri" w:hAnsi="Calibri" w:cs="Calibri"/>
          <w:b/>
          <w:color w:val="000000"/>
          <w:sz w:val="24"/>
          <w:szCs w:val="24"/>
        </w:rPr>
        <w:t xml:space="preserve">Eesti ESA äriinkubaatori areng </w:t>
      </w:r>
    </w:p>
    <w:p w14:paraId="771F35C0" w14:textId="77777777" w:rsidR="00C1423E" w:rsidRPr="00367C05" w:rsidRDefault="00C1423E" w:rsidP="00C1423E">
      <w:pPr>
        <w:rPr>
          <w:rFonts w:ascii="Calibri" w:hAnsi="Calibri" w:cs="Calibri"/>
          <w:color w:val="000000"/>
          <w:sz w:val="24"/>
          <w:szCs w:val="24"/>
        </w:rPr>
      </w:pPr>
    </w:p>
    <w:p w14:paraId="1B4B4D12" w14:textId="2CF2BBE6"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Lugupeetud Andrus Kurvits</w:t>
      </w:r>
    </w:p>
    <w:p w14:paraId="4934F0B3" w14:textId="77777777" w:rsidR="00C1423E" w:rsidRPr="00367C05" w:rsidRDefault="00C1423E" w:rsidP="00C1423E">
      <w:pPr>
        <w:jc w:val="both"/>
        <w:rPr>
          <w:rFonts w:ascii="Calibri" w:hAnsi="Calibri" w:cs="Calibri"/>
          <w:color w:val="000000"/>
          <w:sz w:val="24"/>
          <w:szCs w:val="24"/>
        </w:rPr>
      </w:pPr>
    </w:p>
    <w:p w14:paraId="687CB5F5" w14:textId="035E06BB"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Eesti kosmosevaldkonna ja kõrgtehnoloogiatööstuse arengut on oluliselt toetanud Tartu Teaduspargi poolt juhitav Eesti ESA äriinkubaator (ESA BIC). Jätkusuutliku arengu tagamiseks on vajalik, et ESA BIC Estonia tegevus jätkub ning iduettevõtetele eraldatavad ressursid vastaksid valdkonna kaasaegsetele vajadustele.</w:t>
      </w:r>
    </w:p>
    <w:p w14:paraId="15F351AC" w14:textId="77777777"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Alates 2015. aastast on Eesti Euroopa Kosmoseagentuuri (ESA) liige, mis võimaldab ettevõtetel ja teadus-arendusasutustel osaleda kosmosetehnoloogia programmides, kasutada ESA tehnilisi kompetentse ning kandideerida agentuuri hangetel. Eesti riigi panus ESA eelarvesse on viimastel aastatel olnud ligikaudu 10 miljonit eurot aastas, hõlmates nii kohustuslikke kui valikulisi programme.</w:t>
      </w:r>
    </w:p>
    <w:p w14:paraId="5592BC4E" w14:textId="77777777"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 xml:space="preserve">ESA ökosüsteemis on üleeuroopaline inkubatsioonivõrgustik ESA Business </w:t>
      </w:r>
      <w:proofErr w:type="spellStart"/>
      <w:r w:rsidRPr="00367C05">
        <w:rPr>
          <w:rFonts w:ascii="Calibri" w:hAnsi="Calibri" w:cs="Calibri"/>
          <w:color w:val="000000"/>
          <w:sz w:val="24"/>
          <w:szCs w:val="24"/>
        </w:rPr>
        <w:t>Incubation</w:t>
      </w:r>
      <w:proofErr w:type="spellEnd"/>
      <w:r w:rsidRPr="00367C05">
        <w:rPr>
          <w:rFonts w:ascii="Calibri" w:hAnsi="Calibri" w:cs="Calibri"/>
          <w:color w:val="000000"/>
          <w:sz w:val="24"/>
          <w:szCs w:val="24"/>
        </w:rPr>
        <w:t xml:space="preserve"> </w:t>
      </w:r>
      <w:proofErr w:type="spellStart"/>
      <w:r w:rsidRPr="00367C05">
        <w:rPr>
          <w:rFonts w:ascii="Calibri" w:hAnsi="Calibri" w:cs="Calibri"/>
          <w:color w:val="000000"/>
          <w:sz w:val="24"/>
          <w:szCs w:val="24"/>
        </w:rPr>
        <w:t>Centre</w:t>
      </w:r>
      <w:proofErr w:type="spellEnd"/>
      <w:r w:rsidRPr="00367C05">
        <w:rPr>
          <w:rFonts w:ascii="Calibri" w:hAnsi="Calibri" w:cs="Calibri"/>
          <w:color w:val="000000"/>
          <w:sz w:val="24"/>
          <w:szCs w:val="24"/>
        </w:rPr>
        <w:t xml:space="preserve"> oluline ettevõtlustoetuse instrument. Selle eesmärk on toetada iduettevõtteid, mille tegevus põhineb kosmosetehnoloogial või kosmoseandmetel. Programmis pakutakse arendustoetust, tehnilist mentorlust, ligipääsu ESA tehnoloogiatele ja ekspertvõrgustikule ning rahvusvahelisi koostöövõimalusi.</w:t>
      </w:r>
    </w:p>
    <w:p w14:paraId="7753D36B" w14:textId="77777777"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ESA BIC Estonia käivitati 2017. aastal. Igal aastal valitakse programmi raames kuni viis ettevõtet, keda toetatakse arendustegevuses kuni kahe aasta jooksul. Programmi kaudu on Eestis toetatud mitmeid ettevõtteid, kes tegutsevad kaugseire, autonoomsete süsteemide, andmetöötluse ja tarkvaralahenduste valdkonnas.</w:t>
      </w:r>
    </w:p>
    <w:p w14:paraId="6CA50AB8" w14:textId="77777777"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Toetusprogramm tugineb mudelile, kus arendustoetus koosneb ESA panusest ja regionaalsest kaasrahastusest. Seni on arendustoetus olnud kuni 60 000 eurot ettevõtte kohta.</w:t>
      </w:r>
    </w:p>
    <w:p w14:paraId="454B416C" w14:textId="77777777"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2025. aasta lõpus ESA ministrite kohtumisel uuendati ettevõtlust ja innovatsiooni toetavaid instrumente, sh ESA BIC inkubatsioonivõrgustiku toimimismudelit. Uue rakendusmudeli järgi suureneb arendustoetus kuni 80 000 euroni ettevõtte kohta ning kogemusele tuginedes kasvab toetatavate iduettevõtete arv kuuele aastas.</w:t>
      </w:r>
    </w:p>
    <w:p w14:paraId="67B4F673" w14:textId="77777777"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Rahastusmudel põhineb järgmistel põhimõtetel:</w:t>
      </w:r>
    </w:p>
    <w:p w14:paraId="65E33303" w14:textId="77777777" w:rsidR="00C1423E" w:rsidRPr="00367C05" w:rsidRDefault="00C1423E" w:rsidP="00C1423E">
      <w:pPr>
        <w:pStyle w:val="Loendilik"/>
        <w:numPr>
          <w:ilvl w:val="0"/>
          <w:numId w:val="4"/>
        </w:numPr>
        <w:ind w:left="720"/>
        <w:jc w:val="both"/>
        <w:rPr>
          <w:rFonts w:ascii="Calibri" w:hAnsi="Calibri" w:cs="Calibri"/>
          <w:sz w:val="24"/>
          <w:szCs w:val="24"/>
        </w:rPr>
      </w:pPr>
      <w:r w:rsidRPr="00367C05">
        <w:rPr>
          <w:rFonts w:ascii="Calibri" w:hAnsi="Calibri" w:cs="Calibri"/>
          <w:sz w:val="24"/>
          <w:szCs w:val="24"/>
        </w:rPr>
        <w:t>ESA panus – kuni 50 000 eurot ettevõtte kohta</w:t>
      </w:r>
    </w:p>
    <w:p w14:paraId="03BF70C4" w14:textId="77777777" w:rsidR="00C1423E" w:rsidRPr="00367C05" w:rsidRDefault="00C1423E" w:rsidP="00C1423E">
      <w:pPr>
        <w:pStyle w:val="Loendilik"/>
        <w:numPr>
          <w:ilvl w:val="0"/>
          <w:numId w:val="4"/>
        </w:numPr>
        <w:ind w:left="720"/>
        <w:jc w:val="both"/>
        <w:rPr>
          <w:rFonts w:ascii="Calibri" w:hAnsi="Calibri" w:cs="Calibri"/>
          <w:sz w:val="24"/>
          <w:szCs w:val="24"/>
        </w:rPr>
      </w:pPr>
      <w:r w:rsidRPr="00367C05">
        <w:rPr>
          <w:rFonts w:ascii="Calibri" w:hAnsi="Calibri" w:cs="Calibri"/>
          <w:sz w:val="24"/>
          <w:szCs w:val="24"/>
        </w:rPr>
        <w:t>Regionaalne kaasrahastus – 30 000 eurot ettevõtte kohta</w:t>
      </w:r>
    </w:p>
    <w:p w14:paraId="60276991" w14:textId="1ACC443A"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 xml:space="preserve">Kaasrahastuse mudel, milles ESA panusele lisandub kohalike </w:t>
      </w:r>
      <w:r w:rsidR="00AC2858">
        <w:rPr>
          <w:rFonts w:ascii="Calibri" w:hAnsi="Calibri" w:cs="Calibri"/>
          <w:color w:val="000000"/>
          <w:sz w:val="24"/>
          <w:szCs w:val="24"/>
        </w:rPr>
        <w:t>omavalitsuste</w:t>
      </w:r>
      <w:r w:rsidRPr="00367C05">
        <w:rPr>
          <w:rFonts w:ascii="Calibri" w:hAnsi="Calibri" w:cs="Calibri"/>
          <w:color w:val="000000"/>
          <w:sz w:val="24"/>
          <w:szCs w:val="24"/>
        </w:rPr>
        <w:t xml:space="preserve"> panus, on olnud kasutusel alates ESA BIC Estonia algusest ning on eeltingimuseks programmi jätkumisel uue rahastusmudeli rakendamisel.</w:t>
      </w:r>
    </w:p>
    <w:p w14:paraId="3B36134C" w14:textId="67FF91EE"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 xml:space="preserve">Tartu ja Tallinna linnad on olulisteks piirkondlikeks partneritest. Linnade kaasrahastus tagab kohalikele ettevõtetele ligipääsu ESA inkubatsiooniprogrammile ja toetab regionaalsete </w:t>
      </w:r>
      <w:r w:rsidRPr="00367C05">
        <w:rPr>
          <w:rFonts w:ascii="Calibri" w:hAnsi="Calibri" w:cs="Calibri"/>
          <w:color w:val="000000"/>
          <w:sz w:val="24"/>
          <w:szCs w:val="24"/>
        </w:rPr>
        <w:lastRenderedPageBreak/>
        <w:t>teadmusmahuka ettevõtluse ning tehnoloogiaarenduse keskuste arengut. See soodustab koostööd ülikoolide, teadusasutuste ja kõrgtehnoloogiaettevõtete vahel.</w:t>
      </w:r>
    </w:p>
    <w:p w14:paraId="057AE5F4" w14:textId="278C6290" w:rsidR="00C1423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 xml:space="preserve">Eesti ESA BIC programmi jätkumiseks on MKM koostöös </w:t>
      </w:r>
      <w:proofErr w:type="spellStart"/>
      <w:r w:rsidRPr="00367C05">
        <w:rPr>
          <w:rFonts w:ascii="Calibri" w:hAnsi="Calibri" w:cs="Calibri"/>
          <w:color w:val="000000"/>
          <w:sz w:val="24"/>
          <w:szCs w:val="24"/>
        </w:rPr>
        <w:t>ESA-ga</w:t>
      </w:r>
      <w:proofErr w:type="spellEnd"/>
      <w:r w:rsidRPr="00367C05">
        <w:rPr>
          <w:rFonts w:ascii="Calibri" w:hAnsi="Calibri" w:cs="Calibri"/>
          <w:color w:val="000000"/>
          <w:sz w:val="24"/>
          <w:szCs w:val="24"/>
        </w:rPr>
        <w:t xml:space="preserve"> loonud soodsad tingimused, et edendada tehnoloogia ettevõtluse kasvu Eestis.</w:t>
      </w:r>
      <w:r w:rsidR="00367C05">
        <w:rPr>
          <w:rFonts w:ascii="Calibri" w:hAnsi="Calibri" w:cs="Calibri"/>
          <w:color w:val="000000"/>
          <w:sz w:val="24"/>
          <w:szCs w:val="24"/>
        </w:rPr>
        <w:t xml:space="preserve"> Loodan, et uued ESA BIC tingimused loovad viljaka pinnase uute edulugude kasvuks ning oleme Eesti ESA delegatsiooni poolt valmis neil teemadel üheskoos tegutsema.  </w:t>
      </w:r>
    </w:p>
    <w:p w14:paraId="3889B4A8" w14:textId="77777777" w:rsidR="00C1423E" w:rsidRPr="00367C05" w:rsidRDefault="00C1423E" w:rsidP="00C1423E">
      <w:pPr>
        <w:jc w:val="both"/>
        <w:rPr>
          <w:rFonts w:ascii="Calibri" w:hAnsi="Calibri" w:cs="Calibri"/>
          <w:color w:val="000000"/>
          <w:sz w:val="24"/>
          <w:szCs w:val="24"/>
        </w:rPr>
      </w:pPr>
    </w:p>
    <w:p w14:paraId="75C54B9D" w14:textId="77777777" w:rsidR="00C1423E" w:rsidRPr="00367C05" w:rsidRDefault="00C1423E" w:rsidP="00C1423E">
      <w:pPr>
        <w:jc w:val="both"/>
        <w:rPr>
          <w:rFonts w:ascii="Calibri" w:hAnsi="Calibri" w:cs="Calibri"/>
          <w:color w:val="000000"/>
          <w:sz w:val="24"/>
          <w:szCs w:val="24"/>
        </w:rPr>
      </w:pPr>
    </w:p>
    <w:p w14:paraId="0207AEDA" w14:textId="227BE131" w:rsidR="00E64A4E" w:rsidRPr="00367C05" w:rsidRDefault="00C1423E" w:rsidP="00C1423E">
      <w:pPr>
        <w:jc w:val="both"/>
        <w:rPr>
          <w:rFonts w:ascii="Calibri" w:hAnsi="Calibri" w:cs="Calibri"/>
          <w:color w:val="000000"/>
          <w:sz w:val="24"/>
          <w:szCs w:val="24"/>
        </w:rPr>
      </w:pPr>
      <w:r w:rsidRPr="00367C05">
        <w:rPr>
          <w:rFonts w:ascii="Calibri" w:hAnsi="Calibri" w:cs="Calibri"/>
          <w:color w:val="000000"/>
          <w:sz w:val="24"/>
          <w:szCs w:val="24"/>
        </w:rPr>
        <w:t>Lugupidamisega</w:t>
      </w:r>
    </w:p>
    <w:p w14:paraId="0E89067F" w14:textId="77777777" w:rsidR="00A87405" w:rsidRPr="00367C05" w:rsidRDefault="00A87405" w:rsidP="00C4243D">
      <w:pPr>
        <w:jc w:val="both"/>
        <w:rPr>
          <w:rFonts w:ascii="Calibri" w:hAnsi="Calibri" w:cs="Calibri"/>
          <w:sz w:val="24"/>
          <w:szCs w:val="24"/>
        </w:rPr>
      </w:pPr>
    </w:p>
    <w:p w14:paraId="7DA90DC1" w14:textId="77777777" w:rsidR="00C1423E" w:rsidRDefault="00C1423E" w:rsidP="00C4243D">
      <w:pPr>
        <w:jc w:val="both"/>
      </w:pPr>
    </w:p>
    <w:p w14:paraId="0FFF5C69" w14:textId="77777777" w:rsidR="00A87405" w:rsidRDefault="00C4243D" w:rsidP="00C4243D">
      <w:r w:rsidRPr="00C4243D">
        <w:rPr>
          <w:b/>
          <w:bCs/>
        </w:rPr>
        <w:t>Paul Liias</w:t>
      </w:r>
      <w:r w:rsidRPr="00C4243D">
        <w:br/>
        <w:t>kosmosevaldkonna juht</w:t>
      </w:r>
      <w:r w:rsidRPr="00C4243D">
        <w:br/>
        <w:t>Innovatsiooni ja tehnoloogia osakond</w:t>
      </w:r>
      <w:r w:rsidRPr="00C4243D">
        <w:br/>
        <w:t>Majandus- ja Kommunikatsiooniministeerium</w:t>
      </w:r>
      <w:r w:rsidRPr="00C4243D">
        <w:br/>
        <w:t xml:space="preserve">+372 625 6341 </w:t>
      </w:r>
      <w:hyperlink r:id="rId5" w:history="1">
        <w:r w:rsidRPr="00C4243D">
          <w:rPr>
            <w:rStyle w:val="Hperlink"/>
          </w:rPr>
          <w:t>Paul.Liias@mkm.ee</w:t>
        </w:r>
      </w:hyperlink>
      <w:r w:rsidRPr="00C4243D">
        <w:br/>
      </w:r>
      <w:hyperlink r:id="rId6" w:history="1">
        <w:r w:rsidRPr="00C4243D">
          <w:rPr>
            <w:rStyle w:val="Hperlink"/>
          </w:rPr>
          <w:t>www.mkm.ee</w:t>
        </w:r>
      </w:hyperlink>
      <w:r w:rsidRPr="00C4243D">
        <w:t> | Suur-Ameerika 1, Tallinn</w:t>
      </w:r>
    </w:p>
    <w:p w14:paraId="4D98E07B" w14:textId="7C2B844F" w:rsidR="00C4243D" w:rsidRPr="00A87405" w:rsidRDefault="00C4243D" w:rsidP="00A87405"/>
    <w:sectPr w:rsidR="00C4243D" w:rsidRPr="00A87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60A"/>
    <w:multiLevelType w:val="hybridMultilevel"/>
    <w:tmpl w:val="A94EC9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1884F5C"/>
    <w:multiLevelType w:val="multilevel"/>
    <w:tmpl w:val="6DF60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A65D75"/>
    <w:multiLevelType w:val="hybridMultilevel"/>
    <w:tmpl w:val="525E2FD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4DE6AA7"/>
    <w:multiLevelType w:val="hybridMultilevel"/>
    <w:tmpl w:val="D3DAE0A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2000887306">
    <w:abstractNumId w:val="1"/>
  </w:num>
  <w:num w:numId="2" w16cid:durableId="164832867">
    <w:abstractNumId w:val="2"/>
  </w:num>
  <w:num w:numId="3" w16cid:durableId="849761021">
    <w:abstractNumId w:val="0"/>
  </w:num>
  <w:num w:numId="4" w16cid:durableId="1330016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3D"/>
    <w:rsid w:val="00046C80"/>
    <w:rsid w:val="00084D3F"/>
    <w:rsid w:val="001A0BD5"/>
    <w:rsid w:val="00367C05"/>
    <w:rsid w:val="00420C5D"/>
    <w:rsid w:val="0098039A"/>
    <w:rsid w:val="00A83BA4"/>
    <w:rsid w:val="00A87405"/>
    <w:rsid w:val="00AC2858"/>
    <w:rsid w:val="00C1423E"/>
    <w:rsid w:val="00C4243D"/>
    <w:rsid w:val="00E64A4E"/>
    <w:rsid w:val="00E958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ED87"/>
  <w15:chartTrackingRefBased/>
  <w15:docId w15:val="{9F607C76-09B4-4A8B-8BDF-1ABE0060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42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42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4243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4243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4243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4243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4243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4243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4243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4243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4243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4243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4243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4243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4243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4243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4243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4243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42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4243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4243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4243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4243D"/>
    <w:pPr>
      <w:spacing w:before="160"/>
      <w:jc w:val="center"/>
    </w:pPr>
    <w:rPr>
      <w:i/>
      <w:iCs/>
      <w:color w:val="404040" w:themeColor="text1" w:themeTint="BF"/>
    </w:rPr>
  </w:style>
  <w:style w:type="character" w:customStyle="1" w:styleId="TsitaatMrk">
    <w:name w:val="Tsitaat Märk"/>
    <w:basedOn w:val="Liguvaikefont"/>
    <w:link w:val="Tsitaat"/>
    <w:uiPriority w:val="29"/>
    <w:rsid w:val="00C4243D"/>
    <w:rPr>
      <w:i/>
      <w:iCs/>
      <w:color w:val="404040" w:themeColor="text1" w:themeTint="BF"/>
    </w:rPr>
  </w:style>
  <w:style w:type="paragraph" w:styleId="Loendilik">
    <w:name w:val="List Paragraph"/>
    <w:basedOn w:val="Normaallaad"/>
    <w:uiPriority w:val="34"/>
    <w:qFormat/>
    <w:rsid w:val="00C4243D"/>
    <w:pPr>
      <w:ind w:left="720"/>
      <w:contextualSpacing/>
    </w:pPr>
  </w:style>
  <w:style w:type="character" w:styleId="Selgeltmrgatavrhutus">
    <w:name w:val="Intense Emphasis"/>
    <w:basedOn w:val="Liguvaikefont"/>
    <w:uiPriority w:val="21"/>
    <w:qFormat/>
    <w:rsid w:val="00C4243D"/>
    <w:rPr>
      <w:i/>
      <w:iCs/>
      <w:color w:val="0F4761" w:themeColor="accent1" w:themeShade="BF"/>
    </w:rPr>
  </w:style>
  <w:style w:type="paragraph" w:styleId="Selgeltmrgatavtsitaat">
    <w:name w:val="Intense Quote"/>
    <w:basedOn w:val="Normaallaad"/>
    <w:next w:val="Normaallaad"/>
    <w:link w:val="SelgeltmrgatavtsitaatMrk"/>
    <w:uiPriority w:val="30"/>
    <w:qFormat/>
    <w:rsid w:val="00C42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4243D"/>
    <w:rPr>
      <w:i/>
      <w:iCs/>
      <w:color w:val="0F4761" w:themeColor="accent1" w:themeShade="BF"/>
    </w:rPr>
  </w:style>
  <w:style w:type="character" w:styleId="Selgeltmrgatavviide">
    <w:name w:val="Intense Reference"/>
    <w:basedOn w:val="Liguvaikefont"/>
    <w:uiPriority w:val="32"/>
    <w:qFormat/>
    <w:rsid w:val="00C4243D"/>
    <w:rPr>
      <w:b/>
      <w:bCs/>
      <w:smallCaps/>
      <w:color w:val="0F4761" w:themeColor="accent1" w:themeShade="BF"/>
      <w:spacing w:val="5"/>
    </w:rPr>
  </w:style>
  <w:style w:type="character" w:styleId="Hperlink">
    <w:name w:val="Hyperlink"/>
    <w:basedOn w:val="Liguvaikefont"/>
    <w:uiPriority w:val="99"/>
    <w:unhideWhenUsed/>
    <w:rsid w:val="00C4243D"/>
    <w:rPr>
      <w:color w:val="467886" w:themeColor="hyperlink"/>
      <w:u w:val="single"/>
    </w:rPr>
  </w:style>
  <w:style w:type="character" w:styleId="Lahendamatamainimine">
    <w:name w:val="Unresolved Mention"/>
    <w:basedOn w:val="Liguvaikefont"/>
    <w:uiPriority w:val="99"/>
    <w:semiHidden/>
    <w:unhideWhenUsed/>
    <w:rsid w:val="00C42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km.ee" TargetMode="External"/><Relationship Id="rId5" Type="http://schemas.openxmlformats.org/officeDocument/2006/relationships/hyperlink" Target="mailto:Paul.Liias@mkm.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512</Words>
  <Characters>2699</Characters>
  <Application>Microsoft Office Word</Application>
  <DocSecurity>0</DocSecurity>
  <Lines>55</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Liias - MKM</dc:creator>
  <cp:keywords/>
  <dc:description/>
  <cp:lastModifiedBy>Paul Liias - MKM</cp:lastModifiedBy>
  <cp:revision>2</cp:revision>
  <dcterms:created xsi:type="dcterms:W3CDTF">2026-03-16T16:54:00Z</dcterms:created>
  <dcterms:modified xsi:type="dcterms:W3CDTF">2026-03-16T17:26:00Z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2026-03-16T17:17:58Z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955a33d5-0f17-46a6-9c3f-dcaef8167632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